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Centralino, Fattorinaggio, Uscierato,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Costantino Mario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fattorinaggio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Centralino, Fattorinaggio, Uscierato,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Centralino: Gestione del flusso delle telefonate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Centralino, Fattorinaggio, Uscierato,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Portineria e custodia: Apertura e chiusura locali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Centralino, Fattorinaggio, Uscierato,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